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(c)Trust Information Form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Settlor: ________________________________________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Settlor: ________________________________________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 of Trust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Revocable/_____ Irrevocable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 Funded/_____ Unfunded/_____ Life insurance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Marital deduction: _____Yes/_____No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Special needs trust for disabled child: _____Yes/_____No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Trustee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Trustee: 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Alternate trustee: 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Co-trustee (if applicable): ________________________________________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Assets in Trust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Settlor(s): ________________________________________ or spouse: ________________________________________</w:t>
        <w:br w:type="textWrapping"/>
        <w:t xml:space="preserve">or Child(ren): ________________________________________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Second: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Child(ren): ________________________________________ or Grandchild(ren): ________________________________________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Third: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Grandchild(ren): ________________________________________ or Other: ________________________________________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Equally or percent share: _____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Second: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Equally or percent share: 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Third: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 (if does not survive)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br w:type="textWrapping"/>
        <w:t xml:space="preserve">Relationship: 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0"/>
        </w:tabs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Equally or percent share: 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no survivors, then to: 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Distribution Alternatives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 at age: 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One third (1/3) at age: 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One half (1/2) at age: _____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Balance at age: 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